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黑体" w:hAnsi="黑体" w:eastAsia="黑体"/>
          <w:b/>
          <w:sz w:val="32"/>
          <w:szCs w:val="32"/>
        </w:rPr>
      </w:pPr>
      <w:r>
        <w:rPr>
          <w:rFonts w:ascii="方正小标宋简体" w:hAnsi="方正小标宋简体" w:eastAsia="方正小标宋简体" w:cs="方正小标宋简体"/>
          <w:b/>
          <w:color w:val="000000"/>
          <w:sz w:val="30"/>
          <w:szCs w:val="30"/>
        </w:rPr>
        <w:t>培 训 须 知</w:t>
      </w:r>
      <w:r>
        <w:rPr>
          <w:rFonts w:hint="eastAsia" w:ascii="方正小标宋简体" w:hAnsi="方正小标宋简体" w:eastAsia="方正小标宋简体" w:cs="方正小标宋简体"/>
          <w:b/>
          <w:color w:val="000000"/>
          <w:sz w:val="30"/>
          <w:szCs w:val="30"/>
        </w:rPr>
        <w:t xml:space="preserve">  </w:t>
      </w:r>
      <w:r>
        <w:rPr>
          <w:rFonts w:hint="eastAsia" w:ascii="黑体" w:hAnsi="黑体" w:eastAsia="黑体"/>
          <w:b/>
          <w:sz w:val="32"/>
          <w:szCs w:val="32"/>
        </w:rPr>
        <w:t xml:space="preserve">                                     </w:t>
      </w:r>
    </w:p>
    <w:p>
      <w:pPr>
        <w:spacing w:line="380" w:lineRule="exact"/>
        <w:ind w:firstLine="151" w:firstLineChars="50"/>
        <w:rPr>
          <w:rFonts w:hint="eastAsia" w:ascii="仿宋_GB2312" w:hAnsi="黑体" w:eastAsia="仿宋_GB2312"/>
          <w:b/>
          <w:sz w:val="30"/>
          <w:szCs w:val="30"/>
        </w:rPr>
      </w:pPr>
      <w:r>
        <w:rPr>
          <w:rFonts w:hint="eastAsia" w:ascii="仿宋_GB2312" w:hAnsi="黑体" w:eastAsia="仿宋_GB2312"/>
          <w:b/>
          <w:sz w:val="30"/>
          <w:szCs w:val="30"/>
        </w:rPr>
        <w:t xml:space="preserve">一、培训内容  </w:t>
      </w:r>
    </w:p>
    <w:p>
      <w:pPr>
        <w:spacing w:line="380" w:lineRule="exact"/>
        <w:ind w:firstLine="150" w:firstLineChars="50"/>
        <w:rPr>
          <w:rFonts w:hint="eastAsia" w:ascii="仿宋_GB2312" w:hAnsi="黑体" w:eastAsia="仿宋_GB2312"/>
          <w:sz w:val="30"/>
          <w:szCs w:val="30"/>
        </w:rPr>
      </w:pPr>
      <w:r>
        <w:rPr>
          <w:rFonts w:hint="eastAsia" w:ascii="仿宋_GB2312" w:hAnsi="黑体" w:eastAsia="仿宋_GB2312"/>
          <w:sz w:val="30"/>
          <w:szCs w:val="30"/>
        </w:rPr>
        <w:t xml:space="preserve">   1.</w:t>
      </w:r>
      <w:r>
        <w:rPr>
          <w:rFonts w:hint="eastAsia" w:ascii="仿宋_GB2312" w:hAnsi="仿宋" w:eastAsia="仿宋_GB2312"/>
          <w:color w:val="000000"/>
          <w:sz w:val="30"/>
          <w:szCs w:val="30"/>
        </w:rPr>
        <w:t>针对住房城乡建设部办公厅发布关于实行全国建筑业企业资质审批告知承诺制通知的解读</w:t>
      </w:r>
      <w:r>
        <w:rPr>
          <w:rFonts w:hint="eastAsia" w:ascii="仿宋_GB2312" w:hAnsi="黑体" w:eastAsia="仿宋_GB2312"/>
          <w:sz w:val="30"/>
          <w:szCs w:val="30"/>
        </w:rPr>
        <w:t xml:space="preserve">；                                   </w:t>
      </w:r>
    </w:p>
    <w:p>
      <w:pPr>
        <w:keepNext w:val="0"/>
        <w:keepLines w:val="0"/>
        <w:pageBreakBefore w:val="0"/>
        <w:widowControl/>
        <w:kinsoku/>
        <w:wordWrap/>
        <w:overflowPunct/>
        <w:topLinePunct w:val="0"/>
        <w:autoSpaceDE/>
        <w:autoSpaceDN/>
        <w:bidi w:val="0"/>
        <w:adjustRightInd/>
        <w:snapToGrid/>
        <w:spacing w:line="380" w:lineRule="exact"/>
        <w:ind w:right="-191" w:rightChars="-91" w:firstLine="600" w:firstLineChars="200"/>
        <w:textAlignment w:val="auto"/>
        <w:outlineLvl w:val="0"/>
        <w:rPr>
          <w:rFonts w:hint="eastAsia" w:ascii="仿宋_GB2312" w:hAnsi="仿宋" w:eastAsia="仿宋_GB2312"/>
          <w:color w:val="000000"/>
          <w:sz w:val="30"/>
          <w:szCs w:val="30"/>
        </w:rPr>
      </w:pPr>
      <w:r>
        <w:rPr>
          <w:rFonts w:hint="eastAsia" w:ascii="仿宋_GB2312" w:hAnsi="仿宋" w:eastAsia="仿宋_GB2312"/>
          <w:color w:val="000000"/>
          <w:sz w:val="30"/>
          <w:szCs w:val="30"/>
        </w:rPr>
        <w:t>2.针对近日住房城乡建设部办公厅关于建设工程企业资质统一实行电子化申报和审批流程的学习；</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3.关于简化建筑业企业资质标准部分指标的政策解读；</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4.关于对工程建设系统工程技术人员挂证行为的整治的解读；                     </w:t>
      </w:r>
    </w:p>
    <w:p>
      <w:pPr>
        <w:spacing w:line="38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5．“四库一平台”建筑业企业库、人员库、业绩库和诚信库等信息系统的操作指导、重要指标的填写、考核要点及注意事项等；</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6.企业工程新业绩如何正确入库，为资质升级做准备；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7.建筑业企业网上申报及审批相关政策介绍及应对；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8.在资质增项、新</w:t>
      </w:r>
      <w:bookmarkStart w:id="0" w:name="_GoBack"/>
      <w:bookmarkEnd w:id="0"/>
      <w:r>
        <w:rPr>
          <w:rFonts w:hint="eastAsia" w:ascii="仿宋_GB2312" w:hAnsi="仿宋" w:eastAsia="仿宋_GB2312"/>
          <w:sz w:val="30"/>
          <w:szCs w:val="30"/>
        </w:rPr>
        <w:t xml:space="preserve">办中如何正确理解资质标准对人员、资产、设备和业绩的考核要求；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9.建筑业企业资质申报操作过程中常见问题分析讲解；结合资质申报案例，介绍申报操作实务与技巧，让企业了解资质申报过程及要求；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10.企业如何规避动态核查注意事项及所面临的问题；</w:t>
      </w:r>
    </w:p>
    <w:p>
      <w:pPr>
        <w:spacing w:line="38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11．新形势建筑业企业信息系统中的外省市备案申报流程及系统填报要求；</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12.新形势下国企改混改当中企业如何进行重组、合并、分立，资质平移及具体操作讲解；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13.建筑特级资质申报的特点及操作实务；新标准情况介绍暨《施工总承包企业特级资质标准》（征求意见稿）解析；建筑特级资质申报的特点及操作实务。</w:t>
      </w:r>
    </w:p>
    <w:p>
      <w:pPr>
        <w:widowControl/>
        <w:spacing w:line="380" w:lineRule="exact"/>
        <w:ind w:right="-191" w:rightChars="-91" w:firstLine="602" w:firstLineChars="200"/>
        <w:outlineLvl w:val="0"/>
        <w:rPr>
          <w:rFonts w:hint="eastAsia" w:ascii="仿宋_GB2312" w:hAnsi="黑体" w:eastAsia="仿宋_GB2312"/>
          <w:b/>
          <w:sz w:val="30"/>
          <w:szCs w:val="30"/>
        </w:rPr>
      </w:pPr>
      <w:r>
        <w:rPr>
          <w:rFonts w:hint="eastAsia" w:ascii="仿宋_GB2312" w:hAnsi="黑体" w:eastAsia="仿宋_GB2312"/>
          <w:b/>
          <w:sz w:val="30"/>
          <w:szCs w:val="30"/>
        </w:rPr>
        <w:t xml:space="preserve">二、培训对象                                                 </w:t>
      </w:r>
    </w:p>
    <w:p>
      <w:pPr>
        <w:widowControl/>
        <w:spacing w:line="380" w:lineRule="exact"/>
        <w:ind w:right="-191" w:rightChars="-91" w:firstLine="600" w:firstLineChars="200"/>
        <w:outlineLvl w:val="0"/>
        <w:rPr>
          <w:rFonts w:hint="eastAsia" w:ascii="仿宋_GB2312" w:hAnsi="仿宋" w:eastAsia="仿宋_GB2312"/>
          <w:sz w:val="30"/>
          <w:szCs w:val="30"/>
        </w:rPr>
      </w:pPr>
      <w:r>
        <w:rPr>
          <w:rFonts w:hint="eastAsia" w:ascii="仿宋_GB2312" w:hAnsi="仿宋" w:eastAsia="仿宋_GB2312"/>
          <w:sz w:val="30"/>
          <w:szCs w:val="30"/>
        </w:rPr>
        <w:t xml:space="preserve">各地建设主管部门领导和有关行业协会领导及建筑企业总经理、副总经理，负责资质主管及相关专员等。                                                 </w:t>
      </w:r>
    </w:p>
    <w:p>
      <w:pPr>
        <w:spacing w:line="380" w:lineRule="exact"/>
        <w:ind w:firstLine="602" w:firstLineChars="200"/>
        <w:rPr>
          <w:rFonts w:hint="eastAsia" w:ascii="仿宋_GB2312" w:hAnsi="黑体" w:eastAsia="仿宋_GB2312"/>
          <w:b/>
          <w:sz w:val="30"/>
          <w:szCs w:val="30"/>
        </w:rPr>
      </w:pPr>
      <w:r>
        <w:rPr>
          <w:rFonts w:hint="eastAsia" w:ascii="仿宋_GB2312" w:hAnsi="黑体" w:eastAsia="仿宋_GB2312"/>
          <w:b/>
          <w:sz w:val="30"/>
          <w:szCs w:val="30"/>
        </w:rPr>
        <w:t xml:space="preserve">三、培训时间及地点                                                 </w:t>
      </w:r>
    </w:p>
    <w:p>
      <w:pPr>
        <w:widowControl/>
        <w:spacing w:line="380" w:lineRule="exact"/>
        <w:ind w:right="-191" w:rightChars="-91" w:firstLine="600"/>
        <w:outlineLvl w:val="0"/>
        <w:rPr>
          <w:rFonts w:hint="eastAsia" w:ascii="仿宋_GB2312" w:hAnsi="黑体" w:eastAsia="仿宋_GB2312"/>
          <w:b/>
          <w:sz w:val="30"/>
          <w:szCs w:val="30"/>
        </w:rPr>
      </w:pPr>
      <w:r>
        <w:rPr>
          <w:rFonts w:hint="eastAsia" w:ascii="仿宋_GB2312" w:hAnsi="仿宋" w:eastAsia="仿宋_GB2312"/>
          <w:sz w:val="30"/>
          <w:szCs w:val="30"/>
        </w:rPr>
        <w:t>时间：2019年5月16日—18日（16日全天报到）  地点：北京市</w:t>
      </w:r>
      <w:r>
        <w:rPr>
          <w:rFonts w:hint="eastAsia" w:ascii="仿宋_GB2312" w:hAnsi="仿宋" w:eastAsia="仿宋_GB2312"/>
          <w:sz w:val="30"/>
          <w:szCs w:val="30"/>
        </w:rPr>
        <w:tab/>
      </w:r>
      <w:r>
        <w:rPr>
          <w:rFonts w:hint="eastAsia" w:ascii="仿宋_GB2312" w:hAnsi="仿宋" w:eastAsia="仿宋_GB2312"/>
          <w:sz w:val="30"/>
          <w:szCs w:val="30"/>
        </w:rPr>
        <w:t xml:space="preserve"> </w:t>
      </w:r>
      <w:r>
        <w:rPr>
          <w:rFonts w:hint="eastAsia" w:ascii="仿宋_GB2312" w:hAnsi="黑体" w:eastAsia="仿宋_GB2312"/>
          <w:b/>
          <w:sz w:val="30"/>
          <w:szCs w:val="30"/>
        </w:rPr>
        <w:t xml:space="preserve">四、培训费用                                                                                                      </w:t>
      </w:r>
    </w:p>
    <w:p>
      <w:pPr>
        <w:widowControl/>
        <w:spacing w:line="380" w:lineRule="exact"/>
        <w:ind w:right="-191" w:rightChars="-91" w:firstLine="646"/>
        <w:outlineLvl w:val="0"/>
        <w:rPr>
          <w:rFonts w:hint="eastAsia" w:ascii="仿宋_GB2312" w:hAnsi="宋体" w:eastAsia="仿宋_GB2312" w:cs="宋体"/>
          <w:color w:val="000000"/>
          <w:kern w:val="0"/>
          <w:sz w:val="30"/>
          <w:szCs w:val="30"/>
        </w:rPr>
      </w:pPr>
      <w:r>
        <w:rPr>
          <w:rFonts w:hint="eastAsia" w:ascii="仿宋_GB2312" w:hAnsi="仿宋" w:eastAsia="仿宋_GB2312"/>
          <w:sz w:val="30"/>
          <w:szCs w:val="30"/>
        </w:rPr>
        <w:t>培训费2600元/人</w:t>
      </w:r>
      <w:r>
        <w:rPr>
          <w:rFonts w:hint="eastAsia" w:ascii="仿宋_GB2312" w:hAnsi="宋体" w:eastAsia="仿宋_GB2312" w:cs="宋体"/>
          <w:color w:val="000000"/>
          <w:kern w:val="0"/>
          <w:sz w:val="30"/>
          <w:szCs w:val="30"/>
        </w:rPr>
        <w:t>（费用含会务费、资料费、场地费、专家费、税费），食宿统一安排，费用自理。会员单位免费参加（正常缴纳资料费）。</w:t>
      </w:r>
    </w:p>
    <w:p>
      <w:pPr>
        <w:pStyle w:val="4"/>
        <w:spacing w:line="360" w:lineRule="exact"/>
        <w:ind w:left="402" w:firstLine="151" w:firstLineChars="50"/>
        <w:rPr>
          <w:rFonts w:hint="eastAsia" w:ascii="仿宋_GB2312" w:hAnsi="宋体" w:eastAsia="仿宋_GB2312"/>
          <w:b/>
          <w:color w:val="000000"/>
          <w:kern w:val="0"/>
          <w:sz w:val="30"/>
          <w:szCs w:val="30"/>
        </w:rPr>
      </w:pPr>
      <w:r>
        <w:rPr>
          <w:rFonts w:hint="eastAsia" w:ascii="仿宋_GB2312" w:hAnsi="宋体" w:eastAsia="仿宋_GB2312"/>
          <w:b/>
          <w:color w:val="000000"/>
          <w:kern w:val="0"/>
          <w:sz w:val="30"/>
          <w:szCs w:val="30"/>
        </w:rPr>
        <w:t>缴费方式：银行汇款或转账，会议不安排现场收费。</w:t>
      </w:r>
    </w:p>
    <w:p>
      <w:pPr>
        <w:pStyle w:val="4"/>
        <w:spacing w:line="360" w:lineRule="exact"/>
        <w:ind w:left="402" w:firstLine="150" w:firstLineChars="5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账户名称：北京中建政研信息咨询中心</w:t>
      </w:r>
    </w:p>
    <w:p>
      <w:pPr>
        <w:pStyle w:val="4"/>
        <w:spacing w:line="360" w:lineRule="exact"/>
        <w:ind w:left="402" w:firstLine="105" w:firstLineChars="50"/>
        <w:rPr>
          <w:rFonts w:hint="eastAsia" w:ascii="仿宋_GB2312" w:hAnsi="宋体" w:eastAsia="仿宋_GB2312"/>
          <w:color w:val="000000"/>
          <w:kern w:val="0"/>
          <w:sz w:val="30"/>
          <w:szCs w:val="30"/>
        </w:rPr>
      </w:pPr>
      <w:r>
        <w:rPr>
          <w:rFonts w:hint="eastAsia" w:ascii="仿宋_GB2312" w:eastAsia="仿宋_GB2312"/>
        </w:rPr>
        <w:drawing>
          <wp:anchor distT="0" distB="0" distL="114300" distR="114300" simplePos="0" relativeHeight="251658240" behindDoc="1" locked="0" layoutInCell="1" allowOverlap="1">
            <wp:simplePos x="0" y="0"/>
            <wp:positionH relativeFrom="column">
              <wp:posOffset>6858000</wp:posOffset>
            </wp:positionH>
            <wp:positionV relativeFrom="paragraph">
              <wp:posOffset>205740</wp:posOffset>
            </wp:positionV>
            <wp:extent cx="1504950" cy="1504950"/>
            <wp:effectExtent l="0" t="0" r="0" b="0"/>
            <wp:wrapNone/>
            <wp:docPr id="1" name="图片 12" descr="说明: 北京中建政研咨询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说明: 北京中建政研咨询中心"/>
                    <pic:cNvPicPr>
                      <a:picLocks noChangeAspect="1"/>
                    </pic:cNvPicPr>
                  </pic:nvPicPr>
                  <pic:blipFill>
                    <a:blip r:embed="rId4"/>
                    <a:srcRect l="208" t="208" r="208" b="208"/>
                    <a:stretch>
                      <a:fillRect/>
                    </a:stretch>
                  </pic:blipFill>
                  <pic:spPr>
                    <a:xfrm>
                      <a:off x="0" y="0"/>
                      <a:ext cx="1504950" cy="1504950"/>
                    </a:xfrm>
                    <a:prstGeom prst="rect">
                      <a:avLst/>
                    </a:prstGeom>
                    <a:noFill/>
                    <a:ln>
                      <a:noFill/>
                    </a:ln>
                  </pic:spPr>
                </pic:pic>
              </a:graphicData>
            </a:graphic>
          </wp:anchor>
        </w:drawing>
      </w:r>
      <w:r>
        <w:rPr>
          <w:rFonts w:hint="eastAsia" w:ascii="仿宋_GB2312" w:hAnsi="宋体" w:eastAsia="仿宋_GB2312"/>
          <w:color w:val="000000"/>
          <w:kern w:val="0"/>
          <w:sz w:val="30"/>
          <w:szCs w:val="30"/>
        </w:rPr>
        <w:t>开 户 行：工商银行北京半壁店支行</w:t>
      </w:r>
    </w:p>
    <w:p>
      <w:pPr>
        <w:pStyle w:val="4"/>
        <w:spacing w:line="360" w:lineRule="exact"/>
        <w:ind w:left="402" w:firstLine="150" w:firstLineChars="5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帐    号：</w:t>
      </w:r>
      <w:r>
        <w:rPr>
          <w:rFonts w:ascii="仿宋_GB2312" w:hAnsi="宋体" w:eastAsia="仿宋_GB2312"/>
          <w:color w:val="000000"/>
          <w:kern w:val="0"/>
          <w:sz w:val="30"/>
          <w:szCs w:val="30"/>
        </w:rPr>
        <w:t>0200280619200043670</w:t>
      </w:r>
    </w:p>
    <w:p/>
    <w:sectPr>
      <w:pgSz w:w="11906" w:h="16838"/>
      <w:pgMar w:top="1440" w:right="1800" w:bottom="2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60709"/>
    <w:rsid w:val="3CA607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列出段落"/>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2019-05-10T06:12:00Z</dcterms:created>
  <dc:creator>Administrator</dc:creator>
  <cp:lastModifiedBy>Administrator</cp:lastModifiedBy>
  <dcterms:modified xsi:type="dcterms:W3CDTF">2019-05-10T06:15:14Z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